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69AEB" w14:textId="77777777" w:rsidR="00602719" w:rsidRPr="00CB6D84" w:rsidRDefault="00602719" w:rsidP="00CB6D84">
      <w:pPr>
        <w:pStyle w:val="NoSpacing"/>
        <w:rPr>
          <w:rFonts w:asciiTheme="majorHAnsi" w:hAnsiTheme="majorHAnsi" w:cstheme="majorHAnsi"/>
          <w:shd w:val="clear" w:color="auto" w:fill="FFFFFF"/>
        </w:rPr>
      </w:pPr>
      <w:bookmarkStart w:id="0" w:name="_GoBack"/>
      <w:r w:rsidRPr="00CB6D84">
        <w:rPr>
          <w:rFonts w:asciiTheme="majorHAnsi" w:hAnsiTheme="majorHAnsi" w:cstheme="majorHAnsi"/>
          <w:bCs/>
        </w:rPr>
        <w:t>California Architects</w:t>
      </w:r>
      <w:r w:rsidRPr="00CB6D84">
        <w:rPr>
          <w:rFonts w:asciiTheme="majorHAnsi" w:hAnsiTheme="majorHAnsi" w:cstheme="majorHAnsi"/>
          <w:shd w:val="clear" w:color="auto" w:fill="FFFFFF"/>
        </w:rPr>
        <w:t> ADA Continuing Education Requirements</w:t>
      </w:r>
    </w:p>
    <w:bookmarkEnd w:id="0"/>
    <w:p w14:paraId="50E20130" w14:textId="77777777" w:rsidR="00602719" w:rsidRPr="00CB6D84" w:rsidRDefault="00602719" w:rsidP="00602719">
      <w:pPr>
        <w:jc w:val="center"/>
        <w:rPr>
          <w:rFonts w:asciiTheme="minorHAnsi" w:eastAsia="Times New Roman" w:hAnsiTheme="minorHAnsi" w:cstheme="minorHAnsi"/>
          <w:b/>
          <w:color w:val="222222"/>
          <w:shd w:val="clear" w:color="auto" w:fill="FFFFFF"/>
        </w:rPr>
      </w:pPr>
    </w:p>
    <w:p w14:paraId="095463C9" w14:textId="77777777" w:rsidR="00602719" w:rsidRPr="00CB6D84" w:rsidRDefault="00602719" w:rsidP="00602719">
      <w:pPr>
        <w:rPr>
          <w:rFonts w:asciiTheme="minorHAnsi" w:eastAsia="Times New Roman" w:hAnsiTheme="minorHAnsi" w:cstheme="minorHAnsi"/>
          <w:color w:val="222222"/>
          <w:shd w:val="clear" w:color="auto" w:fill="FFFFFF"/>
        </w:rPr>
      </w:pPr>
    </w:p>
    <w:p w14:paraId="0584C53A"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California architects must fulfill basic requirements for their license renewal. Architects must comply with the 4 important requirements:</w:t>
      </w:r>
    </w:p>
    <w:p w14:paraId="518F062E" w14:textId="77777777" w:rsidR="00602719" w:rsidRPr="00CB6D84" w:rsidRDefault="00602719" w:rsidP="00602719">
      <w:pPr>
        <w:rPr>
          <w:rFonts w:asciiTheme="minorHAnsi" w:eastAsia="Times New Roman" w:hAnsiTheme="minorHAnsi" w:cstheme="minorHAnsi"/>
          <w:color w:val="222222"/>
          <w:shd w:val="clear" w:color="auto" w:fill="FFFFFF"/>
        </w:rPr>
      </w:pPr>
    </w:p>
    <w:p w14:paraId="76ECF0D1"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First, architects must complete five hours of coursework on </w:t>
      </w:r>
      <w:hyperlink r:id="rId5" w:history="1">
        <w:r w:rsidRPr="00CB6D84">
          <w:rPr>
            <w:rStyle w:val="Hyperlink"/>
            <w:rFonts w:asciiTheme="minorHAnsi" w:eastAsia="Times New Roman" w:hAnsiTheme="minorHAnsi" w:cstheme="minorHAnsi"/>
            <w:shd w:val="clear" w:color="auto" w:fill="FFFFFF"/>
          </w:rPr>
          <w:t>disability access requirements</w:t>
        </w:r>
      </w:hyperlink>
      <w:r w:rsidRPr="00CB6D84">
        <w:rPr>
          <w:rFonts w:asciiTheme="minorHAnsi" w:eastAsia="Times New Roman" w:hAnsiTheme="minorHAnsi" w:cstheme="minorHAnsi"/>
          <w:color w:val="222222"/>
          <w:shd w:val="clear" w:color="auto" w:fill="FFFFFF"/>
        </w:rPr>
        <w:t> within the previous two years. The coursework must be presented by trainers or educators with knowledge and experience in the disability access requirements.</w:t>
      </w:r>
    </w:p>
    <w:p w14:paraId="7ADF8785" w14:textId="77777777" w:rsidR="00602719" w:rsidRPr="00CB6D84" w:rsidRDefault="00602719" w:rsidP="00602719">
      <w:pPr>
        <w:rPr>
          <w:rFonts w:asciiTheme="minorHAnsi" w:eastAsia="Times New Roman" w:hAnsiTheme="minorHAnsi" w:cstheme="minorHAnsi"/>
          <w:color w:val="222222"/>
          <w:shd w:val="clear" w:color="auto" w:fill="FFFFFF"/>
        </w:rPr>
      </w:pPr>
    </w:p>
    <w:p w14:paraId="6C5EF46C"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The coursework on disability access requirements must include information and practical guidance concerning the requirements imposed by the Americans with Disabilities Act of 1990, state laws that govern access to public facilities, and federal and state regulations adopted pursuant to those laws.</w:t>
      </w:r>
    </w:p>
    <w:p w14:paraId="11D3BDDC" w14:textId="77777777" w:rsidR="00602719" w:rsidRPr="00CB6D84" w:rsidRDefault="00602719" w:rsidP="00602719">
      <w:pPr>
        <w:rPr>
          <w:rFonts w:asciiTheme="minorHAnsi" w:eastAsia="Times New Roman" w:hAnsiTheme="minorHAnsi" w:cstheme="minorHAnsi"/>
          <w:color w:val="222222"/>
          <w:shd w:val="clear" w:color="auto" w:fill="FFFFFF"/>
        </w:rPr>
      </w:pPr>
    </w:p>
    <w:p w14:paraId="032766AF"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It is important to note that the California Architects Board does not have the authority to approve course providers or courses. The Board does not endorse any specific course or provider. When selecting a course, be sure to choose one that the course content meets the requirements we discuss.</w:t>
      </w:r>
    </w:p>
    <w:p w14:paraId="199AFF2C" w14:textId="77777777" w:rsidR="00602719" w:rsidRPr="00CB6D84" w:rsidRDefault="00602719" w:rsidP="00602719">
      <w:pPr>
        <w:rPr>
          <w:rFonts w:asciiTheme="minorHAnsi" w:eastAsia="Times New Roman" w:hAnsiTheme="minorHAnsi" w:cstheme="minorHAnsi"/>
          <w:color w:val="222222"/>
          <w:shd w:val="clear" w:color="auto" w:fill="FFFFFF"/>
        </w:rPr>
      </w:pPr>
    </w:p>
    <w:p w14:paraId="6A3C0C48"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The next major requirement to fulfill is to certify to the California Architects Board on the renewal application that you have completed the required coursework by signing the application.</w:t>
      </w:r>
    </w:p>
    <w:p w14:paraId="1CB01A13" w14:textId="77777777" w:rsidR="00602719" w:rsidRPr="00CB6D84" w:rsidRDefault="00602719" w:rsidP="00602719">
      <w:pPr>
        <w:rPr>
          <w:rFonts w:asciiTheme="minorHAnsi" w:eastAsia="Times New Roman" w:hAnsiTheme="minorHAnsi" w:cstheme="minorHAnsi"/>
          <w:color w:val="222222"/>
          <w:shd w:val="clear" w:color="auto" w:fill="FFFFFF"/>
        </w:rPr>
      </w:pPr>
    </w:p>
    <w:p w14:paraId="2AE4FE4E"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The third requirement is to maintain records documenting completion of the required coursework for two years from the date of license renewal.</w:t>
      </w:r>
    </w:p>
    <w:p w14:paraId="2DFCC10A" w14:textId="77777777" w:rsidR="00602719" w:rsidRPr="00CB6D84" w:rsidRDefault="00602719" w:rsidP="00602719">
      <w:pPr>
        <w:rPr>
          <w:rFonts w:asciiTheme="minorHAnsi" w:eastAsia="Times New Roman" w:hAnsiTheme="minorHAnsi" w:cstheme="minorHAnsi"/>
          <w:color w:val="222222"/>
          <w:shd w:val="clear" w:color="auto" w:fill="FFFFFF"/>
        </w:rPr>
      </w:pPr>
    </w:p>
    <w:p w14:paraId="54867A24"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And finally, the last requirement is to provide, upon request, records to the Board for auditing. Records must include the following:</w:t>
      </w:r>
    </w:p>
    <w:p w14:paraId="4608AB4B" w14:textId="77777777" w:rsidR="00602719" w:rsidRPr="00CB6D84" w:rsidRDefault="00602719" w:rsidP="00602719">
      <w:pPr>
        <w:rPr>
          <w:rFonts w:asciiTheme="minorHAnsi" w:eastAsia="Times New Roman" w:hAnsiTheme="minorHAnsi" w:cstheme="minorHAnsi"/>
          <w:color w:val="222222"/>
          <w:shd w:val="clear" w:color="auto" w:fill="FFFFFF"/>
        </w:rPr>
      </w:pPr>
    </w:p>
    <w:p w14:paraId="55A02B85"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Course title;</w:t>
      </w:r>
    </w:p>
    <w:p w14:paraId="7CB26DE5"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Subjects covered;</w:t>
      </w:r>
    </w:p>
    <w:p w14:paraId="642EEF90"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Name of provider;</w:t>
      </w:r>
    </w:p>
    <w:p w14:paraId="77A94D70"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Name of educator or trainer;</w:t>
      </w:r>
    </w:p>
    <w:p w14:paraId="350CB1A2"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Date of completion;</w:t>
      </w:r>
    </w:p>
    <w:p w14:paraId="430755B7"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Number of hours completed; and</w:t>
      </w:r>
    </w:p>
    <w:p w14:paraId="0B701A5C" w14:textId="77777777" w:rsidR="00602719" w:rsidRPr="00CB6D84" w:rsidRDefault="00602719" w:rsidP="00602719">
      <w:pPr>
        <w:numPr>
          <w:ilvl w:val="0"/>
          <w:numId w:val="4"/>
        </w:num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Statement about the trainer’s or educator’s knowledge and experience background.</w:t>
      </w:r>
    </w:p>
    <w:p w14:paraId="66AFFCD5" w14:textId="77777777" w:rsidR="00602719" w:rsidRPr="00CB6D84" w:rsidRDefault="00602719" w:rsidP="00602719">
      <w:pPr>
        <w:rPr>
          <w:rFonts w:asciiTheme="minorHAnsi" w:eastAsia="Times New Roman" w:hAnsiTheme="minorHAnsi" w:cstheme="minorHAnsi"/>
          <w:color w:val="222222"/>
          <w:shd w:val="clear" w:color="auto" w:fill="FFFFFF"/>
        </w:rPr>
      </w:pPr>
    </w:p>
    <w:p w14:paraId="0883672D" w14:textId="77777777" w:rsidR="00602719" w:rsidRPr="00CB6D84" w:rsidRDefault="00602719"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The California Architects Board notes that “Licensees are encouraged to complete these requirements timely in order to avoid a delay in the processing of their license renewal. Licensees who fail to complete the required coursework cannot renew their license nor practice architecture until they have fulfilled these requirements.”</w:t>
      </w:r>
    </w:p>
    <w:p w14:paraId="3419DD20" w14:textId="77777777" w:rsidR="00602719" w:rsidRPr="00CB6D84" w:rsidRDefault="00602719" w:rsidP="00602719">
      <w:pPr>
        <w:rPr>
          <w:rFonts w:asciiTheme="minorHAnsi" w:eastAsia="Times New Roman" w:hAnsiTheme="minorHAnsi" w:cstheme="minorHAnsi"/>
          <w:color w:val="222222"/>
          <w:shd w:val="clear" w:color="auto" w:fill="FFFFFF"/>
        </w:rPr>
      </w:pPr>
    </w:p>
    <w:p w14:paraId="6FB15D1A" w14:textId="4593CAA9" w:rsidR="00602719" w:rsidRPr="00CB6D84" w:rsidRDefault="002C07E5" w:rsidP="00602719">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lastRenderedPageBreak/>
        <w:t xml:space="preserve">OK, now that we’ve covered the requirements, let’s review the easiest and most cost-effective way to meet your </w:t>
      </w:r>
      <w:proofErr w:type="gramStart"/>
      <w:r w:rsidRPr="00CB6D84">
        <w:rPr>
          <w:rFonts w:asciiTheme="minorHAnsi" w:eastAsia="Times New Roman" w:hAnsiTheme="minorHAnsi" w:cstheme="minorHAnsi"/>
          <w:color w:val="222222"/>
          <w:shd w:val="clear" w:color="auto" w:fill="FFFFFF"/>
        </w:rPr>
        <w:t>5 hour</w:t>
      </w:r>
      <w:proofErr w:type="gramEnd"/>
      <w:r w:rsidRPr="00CB6D84">
        <w:rPr>
          <w:rFonts w:asciiTheme="minorHAnsi" w:eastAsia="Times New Roman" w:hAnsiTheme="minorHAnsi" w:cstheme="minorHAnsi"/>
          <w:color w:val="222222"/>
          <w:shd w:val="clear" w:color="auto" w:fill="FFFFFF"/>
        </w:rPr>
        <w:t xml:space="preserve"> ADA course requirements. </w:t>
      </w:r>
      <w:proofErr w:type="spellStart"/>
      <w:r w:rsidRPr="00CB6D84">
        <w:rPr>
          <w:rFonts w:asciiTheme="minorHAnsi" w:eastAsia="Times New Roman" w:hAnsiTheme="minorHAnsi" w:cstheme="minorHAnsi"/>
          <w:color w:val="222222"/>
          <w:shd w:val="clear" w:color="auto" w:fill="FFFFFF"/>
        </w:rPr>
        <w:t>GreenCE</w:t>
      </w:r>
      <w:proofErr w:type="spellEnd"/>
      <w:r w:rsidRPr="00CB6D84">
        <w:rPr>
          <w:rFonts w:asciiTheme="minorHAnsi" w:eastAsia="Times New Roman" w:hAnsiTheme="minorHAnsi" w:cstheme="minorHAnsi"/>
          <w:color w:val="222222"/>
          <w:shd w:val="clear" w:color="auto" w:fill="FFFFFF"/>
        </w:rPr>
        <w:t xml:space="preserve"> is an online AIA and USGBC Education Provider. They offer ADA/Barrier-Free courses that meet the requirements established by the California Architects Board. </w:t>
      </w:r>
    </w:p>
    <w:p w14:paraId="51D28139" w14:textId="77777777" w:rsidR="002C07E5" w:rsidRPr="00CB6D84" w:rsidRDefault="002C07E5" w:rsidP="00602719">
      <w:pPr>
        <w:rPr>
          <w:rFonts w:asciiTheme="minorHAnsi" w:eastAsia="Times New Roman" w:hAnsiTheme="minorHAnsi" w:cstheme="minorHAnsi"/>
          <w:color w:val="222222"/>
          <w:shd w:val="clear" w:color="auto" w:fill="FFFFFF"/>
        </w:rPr>
      </w:pPr>
    </w:p>
    <w:p w14:paraId="2D1F9BA3" w14:textId="7A53E847" w:rsidR="002C07E5" w:rsidRPr="00CB6D84" w:rsidRDefault="002C07E5" w:rsidP="002C07E5">
      <w:pPr>
        <w:rPr>
          <w:rFonts w:asciiTheme="minorHAnsi" w:eastAsia="Times New Roman" w:hAnsiTheme="minorHAnsi" w:cstheme="minorHAnsi"/>
          <w:color w:val="222222"/>
          <w:shd w:val="clear" w:color="auto" w:fill="FFFFFF"/>
        </w:rPr>
      </w:pPr>
      <w:proofErr w:type="spellStart"/>
      <w:r w:rsidRPr="00CB6D84">
        <w:rPr>
          <w:rFonts w:asciiTheme="minorHAnsi" w:eastAsia="Times New Roman" w:hAnsiTheme="minorHAnsi" w:cstheme="minorHAnsi"/>
          <w:color w:val="222222"/>
          <w:shd w:val="clear" w:color="auto" w:fill="FFFFFF"/>
        </w:rPr>
        <w:t>GreenCE</w:t>
      </w:r>
      <w:proofErr w:type="spellEnd"/>
      <w:r w:rsidRPr="00CB6D84">
        <w:rPr>
          <w:rFonts w:asciiTheme="minorHAnsi" w:eastAsia="Times New Roman" w:hAnsiTheme="minorHAnsi" w:cstheme="minorHAnsi"/>
          <w:color w:val="222222"/>
          <w:shd w:val="clear" w:color="auto" w:fill="FFFFFF"/>
        </w:rPr>
        <w:t xml:space="preserve"> offers a new </w:t>
      </w:r>
      <w:proofErr w:type="gramStart"/>
      <w:r w:rsidRPr="00CB6D84">
        <w:rPr>
          <w:rFonts w:asciiTheme="minorHAnsi" w:eastAsia="Times New Roman" w:hAnsiTheme="minorHAnsi" w:cstheme="minorHAnsi"/>
          <w:color w:val="222222"/>
          <w:shd w:val="clear" w:color="auto" w:fill="FFFFFF"/>
        </w:rPr>
        <w:t>5 hour</w:t>
      </w:r>
      <w:proofErr w:type="gramEnd"/>
      <w:r w:rsidRPr="00CB6D84">
        <w:rPr>
          <w:rFonts w:asciiTheme="minorHAnsi" w:eastAsia="Times New Roman" w:hAnsiTheme="minorHAnsi" w:cstheme="minorHAnsi"/>
          <w:color w:val="222222"/>
          <w:shd w:val="clear" w:color="auto" w:fill="FFFFFF"/>
        </w:rPr>
        <w:t xml:space="preserve"> bundle that fulfills California Architect Continued Education Requirements as required by the California Architects Board (CAB) for biennial license renewal. The California Architect Continuing Education ADA bundle also fulfills Texas architect ADA education requirements. All disability access courses contribute to AIA HSW CE Hours. </w:t>
      </w:r>
    </w:p>
    <w:p w14:paraId="66162345" w14:textId="77777777" w:rsidR="002C07E5" w:rsidRPr="00CB6D84" w:rsidRDefault="002C07E5" w:rsidP="002C07E5">
      <w:pPr>
        <w:rPr>
          <w:rFonts w:asciiTheme="minorHAnsi" w:eastAsia="Times New Roman" w:hAnsiTheme="minorHAnsi" w:cstheme="minorHAnsi"/>
          <w:color w:val="222222"/>
          <w:shd w:val="clear" w:color="auto" w:fill="FFFFFF"/>
        </w:rPr>
      </w:pPr>
    </w:p>
    <w:p w14:paraId="7E117A2F" w14:textId="765D5A74" w:rsidR="00901416" w:rsidRPr="00CB6D84" w:rsidRDefault="002C07E5">
      <w:pPr>
        <w:rPr>
          <w:rFonts w:asciiTheme="minorHAnsi" w:eastAsia="Times New Roman" w:hAnsiTheme="minorHAnsi" w:cstheme="minorHAnsi"/>
          <w:color w:val="222222"/>
          <w:shd w:val="clear" w:color="auto" w:fill="FFFFFF"/>
        </w:rPr>
      </w:pPr>
      <w:r w:rsidRPr="00CB6D84">
        <w:rPr>
          <w:rFonts w:asciiTheme="minorHAnsi" w:eastAsia="Times New Roman" w:hAnsiTheme="minorHAnsi" w:cstheme="minorHAnsi"/>
          <w:color w:val="222222"/>
          <w:shd w:val="clear" w:color="auto" w:fill="FFFFFF"/>
        </w:rPr>
        <w:t xml:space="preserve">Instead of spending a fortune on obtaining your ADA disability access courses, visit </w:t>
      </w:r>
      <w:proofErr w:type="spellStart"/>
      <w:r w:rsidRPr="00CB6D84">
        <w:rPr>
          <w:rFonts w:asciiTheme="minorHAnsi" w:eastAsia="Times New Roman" w:hAnsiTheme="minorHAnsi" w:cstheme="minorHAnsi"/>
          <w:color w:val="222222"/>
          <w:shd w:val="clear" w:color="auto" w:fill="FFFFFF"/>
        </w:rPr>
        <w:t>GreenCE</w:t>
      </w:r>
      <w:proofErr w:type="spellEnd"/>
      <w:r w:rsidRPr="00CB6D84">
        <w:rPr>
          <w:rFonts w:asciiTheme="minorHAnsi" w:eastAsia="Times New Roman" w:hAnsiTheme="minorHAnsi" w:cstheme="minorHAnsi"/>
          <w:color w:val="222222"/>
          <w:shd w:val="clear" w:color="auto" w:fill="FFFFFF"/>
        </w:rPr>
        <w:t xml:space="preserve"> today to fulfill your mandatory course requirements! We make it easy, economical, and engaging!</w:t>
      </w:r>
    </w:p>
    <w:sectPr w:rsidR="00901416" w:rsidRPr="00CB6D84" w:rsidSect="0081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B27FA"/>
    <w:multiLevelType w:val="multilevel"/>
    <w:tmpl w:val="A63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736CA"/>
    <w:multiLevelType w:val="multilevel"/>
    <w:tmpl w:val="3FB8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07489"/>
    <w:multiLevelType w:val="multilevel"/>
    <w:tmpl w:val="0DA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C32A4"/>
    <w:multiLevelType w:val="multilevel"/>
    <w:tmpl w:val="0EB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19"/>
    <w:rsid w:val="002C07E5"/>
    <w:rsid w:val="004D226F"/>
    <w:rsid w:val="00602719"/>
    <w:rsid w:val="00817292"/>
    <w:rsid w:val="00901416"/>
    <w:rsid w:val="00CB6D84"/>
    <w:rsid w:val="00FC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EE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07E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2719"/>
  </w:style>
  <w:style w:type="character" w:styleId="Hyperlink">
    <w:name w:val="Hyperlink"/>
    <w:basedOn w:val="DefaultParagraphFont"/>
    <w:uiPriority w:val="99"/>
    <w:unhideWhenUsed/>
    <w:rsid w:val="00602719"/>
    <w:rPr>
      <w:color w:val="0563C1" w:themeColor="hyperlink"/>
      <w:u w:val="single"/>
    </w:rPr>
  </w:style>
  <w:style w:type="paragraph" w:styleId="NoSpacing">
    <w:name w:val="No Spacing"/>
    <w:uiPriority w:val="1"/>
    <w:qFormat/>
    <w:rsid w:val="00CB6D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1285">
      <w:bodyDiv w:val="1"/>
      <w:marLeft w:val="0"/>
      <w:marRight w:val="0"/>
      <w:marTop w:val="0"/>
      <w:marBottom w:val="0"/>
      <w:divBdr>
        <w:top w:val="none" w:sz="0" w:space="0" w:color="auto"/>
        <w:left w:val="none" w:sz="0" w:space="0" w:color="auto"/>
        <w:bottom w:val="none" w:sz="0" w:space="0" w:color="auto"/>
        <w:right w:val="none" w:sz="0" w:space="0" w:color="auto"/>
      </w:divBdr>
    </w:div>
    <w:div w:id="260726189">
      <w:bodyDiv w:val="1"/>
      <w:marLeft w:val="0"/>
      <w:marRight w:val="0"/>
      <w:marTop w:val="0"/>
      <w:marBottom w:val="0"/>
      <w:divBdr>
        <w:top w:val="none" w:sz="0" w:space="0" w:color="auto"/>
        <w:left w:val="none" w:sz="0" w:space="0" w:color="auto"/>
        <w:bottom w:val="none" w:sz="0" w:space="0" w:color="auto"/>
        <w:right w:val="none" w:sz="0" w:space="0" w:color="auto"/>
      </w:divBdr>
    </w:div>
    <w:div w:id="285888332">
      <w:bodyDiv w:val="1"/>
      <w:marLeft w:val="0"/>
      <w:marRight w:val="0"/>
      <w:marTop w:val="0"/>
      <w:marBottom w:val="0"/>
      <w:divBdr>
        <w:top w:val="none" w:sz="0" w:space="0" w:color="auto"/>
        <w:left w:val="none" w:sz="0" w:space="0" w:color="auto"/>
        <w:bottom w:val="none" w:sz="0" w:space="0" w:color="auto"/>
        <w:right w:val="none" w:sz="0" w:space="0" w:color="auto"/>
      </w:divBdr>
    </w:div>
    <w:div w:id="301615974">
      <w:bodyDiv w:val="1"/>
      <w:marLeft w:val="0"/>
      <w:marRight w:val="0"/>
      <w:marTop w:val="0"/>
      <w:marBottom w:val="0"/>
      <w:divBdr>
        <w:top w:val="none" w:sz="0" w:space="0" w:color="auto"/>
        <w:left w:val="none" w:sz="0" w:space="0" w:color="auto"/>
        <w:bottom w:val="none" w:sz="0" w:space="0" w:color="auto"/>
        <w:right w:val="none" w:sz="0" w:space="0" w:color="auto"/>
      </w:divBdr>
    </w:div>
    <w:div w:id="689381174">
      <w:bodyDiv w:val="1"/>
      <w:marLeft w:val="0"/>
      <w:marRight w:val="0"/>
      <w:marTop w:val="0"/>
      <w:marBottom w:val="0"/>
      <w:divBdr>
        <w:top w:val="none" w:sz="0" w:space="0" w:color="auto"/>
        <w:left w:val="none" w:sz="0" w:space="0" w:color="auto"/>
        <w:bottom w:val="none" w:sz="0" w:space="0" w:color="auto"/>
        <w:right w:val="none" w:sz="0" w:space="0" w:color="auto"/>
      </w:divBdr>
    </w:div>
    <w:div w:id="986855828">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112440606">
      <w:bodyDiv w:val="1"/>
      <w:marLeft w:val="0"/>
      <w:marRight w:val="0"/>
      <w:marTop w:val="0"/>
      <w:marBottom w:val="0"/>
      <w:divBdr>
        <w:top w:val="none" w:sz="0" w:space="0" w:color="auto"/>
        <w:left w:val="none" w:sz="0" w:space="0" w:color="auto"/>
        <w:bottom w:val="none" w:sz="0" w:space="0" w:color="auto"/>
        <w:right w:val="none" w:sz="0" w:space="0" w:color="auto"/>
      </w:divBdr>
    </w:div>
    <w:div w:id="1357075030">
      <w:bodyDiv w:val="1"/>
      <w:marLeft w:val="0"/>
      <w:marRight w:val="0"/>
      <w:marTop w:val="0"/>
      <w:marBottom w:val="0"/>
      <w:divBdr>
        <w:top w:val="none" w:sz="0" w:space="0" w:color="auto"/>
        <w:left w:val="none" w:sz="0" w:space="0" w:color="auto"/>
        <w:bottom w:val="none" w:sz="0" w:space="0" w:color="auto"/>
        <w:right w:val="none" w:sz="0" w:space="0" w:color="auto"/>
      </w:divBdr>
    </w:div>
    <w:div w:id="1792285508">
      <w:bodyDiv w:val="1"/>
      <w:marLeft w:val="0"/>
      <w:marRight w:val="0"/>
      <w:marTop w:val="0"/>
      <w:marBottom w:val="0"/>
      <w:divBdr>
        <w:top w:val="none" w:sz="0" w:space="0" w:color="auto"/>
        <w:left w:val="none" w:sz="0" w:space="0" w:color="auto"/>
        <w:bottom w:val="none" w:sz="0" w:space="0" w:color="auto"/>
        <w:right w:val="none" w:sz="0" w:space="0" w:color="auto"/>
      </w:divBdr>
    </w:div>
    <w:div w:id="1825730664">
      <w:bodyDiv w:val="1"/>
      <w:marLeft w:val="0"/>
      <w:marRight w:val="0"/>
      <w:marTop w:val="0"/>
      <w:marBottom w:val="0"/>
      <w:divBdr>
        <w:top w:val="none" w:sz="0" w:space="0" w:color="auto"/>
        <w:left w:val="none" w:sz="0" w:space="0" w:color="auto"/>
        <w:bottom w:val="none" w:sz="0" w:space="0" w:color="auto"/>
        <w:right w:val="none" w:sz="0" w:space="0" w:color="auto"/>
      </w:divBdr>
    </w:div>
    <w:div w:id="1903059741">
      <w:bodyDiv w:val="1"/>
      <w:marLeft w:val="0"/>
      <w:marRight w:val="0"/>
      <w:marTop w:val="0"/>
      <w:marBottom w:val="0"/>
      <w:divBdr>
        <w:top w:val="none" w:sz="0" w:space="0" w:color="auto"/>
        <w:left w:val="none" w:sz="0" w:space="0" w:color="auto"/>
        <w:bottom w:val="none" w:sz="0" w:space="0" w:color="auto"/>
        <w:right w:val="none" w:sz="0" w:space="0" w:color="auto"/>
      </w:divBdr>
    </w:div>
    <w:div w:id="192191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b.ca.gov/licensees/ce/coursework_requirement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Blank</dc:creator>
  <cp:keywords/>
  <dc:description/>
  <cp:lastModifiedBy>Andres Nunez</cp:lastModifiedBy>
  <cp:revision>2</cp:revision>
  <dcterms:created xsi:type="dcterms:W3CDTF">2020-02-12T19:18:00Z</dcterms:created>
  <dcterms:modified xsi:type="dcterms:W3CDTF">2020-02-12T19:18:00Z</dcterms:modified>
</cp:coreProperties>
</file>